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89" w:after="0"/>
        <w:ind w:left="131" w:right="0" w:hanging="0"/>
        <w:jc w:val="both"/>
        <w:rPr>
          <w:spacing w:val="-2"/>
          <w:w w:val="90"/>
        </w:rPr>
      </w:pPr>
      <w:r>
        <w:rPr>
          <w:spacing w:val="-2"/>
          <w:w w:val="90"/>
        </w:rPr>
      </w:r>
    </w:p>
    <w:p>
      <w:pPr>
        <w:sectPr>
          <w:headerReference w:type="default" r:id="rId2"/>
          <w:type w:val="nextPage"/>
          <w:pgSz w:w="11906" w:h="16838"/>
          <w:pgMar w:left="708" w:right="708" w:gutter="0" w:header="1060" w:top="2171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otexto"/>
        <w:spacing w:lineRule="auto" w:line="240" w:before="240" w:after="0"/>
        <w:ind w:left="131" w:right="415" w:hanging="0"/>
        <w:jc w:val="both"/>
        <w:rPr>
          <w:rFonts w:ascii="Arial" w:hAnsi="Arial"/>
          <w:spacing w:val="-2"/>
          <w:w w:val="90"/>
          <w:sz w:val="22"/>
          <w:szCs w:val="22"/>
        </w:rPr>
      </w:pPr>
      <w:r>
        <w:rPr>
          <w:rFonts w:ascii="Arial" w:hAnsi="Arial"/>
          <w:spacing w:val="-2"/>
          <w:w w:val="90"/>
          <w:sz w:val="22"/>
          <w:szCs w:val="22"/>
        </w:rPr>
      </w:r>
    </w:p>
    <w:p>
      <w:pPr>
        <w:pStyle w:val="Ttulo1"/>
        <w:widowControl w:val="false"/>
        <w:bidi w:val="0"/>
        <w:spacing w:lineRule="auto" w:line="240" w:before="240" w:after="0"/>
        <w:ind w:left="0" w:right="397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color w:val="000000"/>
          <w:spacing w:val="-2"/>
          <w:w w:val="90"/>
          <w:sz w:val="22"/>
          <w:szCs w:val="22"/>
        </w:rPr>
        <w:t>ESTUDO TÉCNICO PRELIMINAR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CREDENCIAMENTO DE LEILOEIROS PÚBLICOS OFICIAIS PARA ORGANIZAÇÃO E REALIZAÇÃO DE LEILÕES DE BENS MÓVEIS DESAFETADOS E IMÓVEIS MUNICÍPIO DE SÃO GABRIEL DA PALHA/ES</w:t>
      </w:r>
    </w:p>
    <w:p>
      <w:pPr>
        <w:pStyle w:val="Ttulo3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LEI Nº 14.133/2021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1. INTRODUÇÃO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2. OBJETIVO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3. FUNDAMENTAÇÃO LEGAL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4. ANÁLISE DA NECESSIDADE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5. REQUISITOS PARA O CREDENCIAMENTO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6. PROCEDIMENTOS DO LEILÃO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7. JUSTIFICATIVA DA ESCOLHA DO CREDENCIAMENTO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8. IMPACTOS E BENEFÍCIOS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9. CONCLUSÃO</w:t>
      </w:r>
    </w:p>
    <w:p>
      <w:pPr>
        <w:pStyle w:val="Ttulo2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color w:val="000000"/>
          <w:sz w:val="22"/>
          <w:szCs w:val="22"/>
        </w:rPr>
        <w:t>10. REFERÊNCIAS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3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1.1. Contexto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Este Estudo Técnico Preliminar (ETP) visa fundamentar a viabilidade técnica e econômica da contratação de leiloeiros públicos oficiais, por meio de credenciamento, para a organização e realização de leilões de bens móveis desafetados (móveis, veículos e equipamentos) e imóveis pertencentes à Administração Pública Municipal de São Gabriel da Palha/ES. A iniciativa busca otimizar a gestão patrimonial, promover a alienação eficiente de bens inservíveis e gerar receita para o município, sem a imposição de ônus financeiros diretos à Administração Pública. A modalidade de credenciamento, em conformidade com a Lei nº 14.133/2021 (Nova Lei de Licitações e Contratos Administrativos), apresenta-se como a solução mais adequada para atender à demanda contínua e variável de leilões, garantindo a transparência, a competitividade e a economicidade do processo.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3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1.2. Finalidade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finalidade deste ETP é analisar e demonstrar a necessidade e a adequação da contratação de leiloeiros públicos oficiais, justificando a escolha do credenciamento como instrumento jurídico para a formalização dessa parceria. Serão abordados os aspectos legais, técnicos e operacionais envolvidos, bem como os benefícios esperados para a Administração Municipal e para a sociedade de São Gabriel da Palha/ES. O documento servirá como base para a elaboração do Termo de Referência ou Projeto Básico, que subsidiará o futuro edital de chamamento público.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2. OBJETIVO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objetivo geral deste Estudo Técnico Preliminar é subsidiar a decisão da Administração Pública Municipal de São Gabriel da Palha/ES quanto à viabilidade e conveniência da contratação de leiloeiros públicos oficiais, por meio de credenciamento, para a realização de leilões de bens móveis desafetados. São objetivos específicos: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Garantir a legalidade e a transparência: Assegurar que todos os procedimentos de credenciamento e leilão estejam em estrita conformidade com a Lei nº 14.133/2021 e demais normas aplicáveis, promovendo a máxima transparência em todas as etapas.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Otimizar a gestão patrimonial: Proporcionar um mecanismo eficiente para a alienação de bens móveis inservíveis, reduzindo custos com armazenamento e manutenção, e liberando espaço físico.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Gerar receita para o município: Maximizar o retorno financeiro para a Administração Pública Municipal através da venda dos bens desafetados, sem a necessidade de investimentos prévios ou custos operacionais diretos.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Promover a competitividade: Atrair o maior número possível de leiloeiros públicos oficiais qualificados, fomentando a concorrência e garantindo as melhores condições para a Administração.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Assegurar a especialização técnica: Contar com profissionais especializados e experientes na organização e condução de leilões, garantindo a lisura e a eficácia dos processos.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Reduzir a burocracia e os custos administrativos: Simplificar os trâmites administrativos internos relacionados à alienação de bens, delegando a leiloeiros credenciados as responsabilidades operacionais dos leilões.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 FUNDAMENTAÇÃO LEGAL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realização de leilões de bens móveis desafetados pela Administração Pública Municipal de São Gabriel da Palha/ES e o credenciamento de leiloeiros públicos oficiais encontram amparo na Lei nº 14.133, de 1º de abril de 2021, a Nova Lei de Licitações e Contratos Administrativos. Esta lei estabelece normas gerais de licitação e contratação para as Administrações Públicas diretas, autárquicas e fundacionais da União, dos Estados, do Distrito Federal e dos Municípios.</w:t>
      </w:r>
    </w:p>
    <w:p>
      <w:pPr>
        <w:pStyle w:val="Ttulo3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3.1. Do Credenciamento na Lei nº 14.133/2021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credenciamento é uma das modalidades de contratação previstas na Lei nº 14.133/2021, definida no Art. 6º, inciso XLIII, como: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"XLIII - credenciamento: processo administrativo de chamamento público em que a Administração Pública convoca interessados em prestar serviços ou fornecer bens para que, preenchidos os requisitos necessários, se credenciem no órgão ou na entidade para executar o objeto quando convocados;" [1]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Os procedimentos para o credenciamento são detalhados no Art. 79 da mesma lei, que estabelece as seguintes regras gerais: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"§ 2º Os procedimentos de credenciamento serão definidos em regulamento, observadas as seguintes regras: I - a Administração deverá divulgar e manter à disposição do público, em sítio eletrônico oficial, edital de chamamento de interessados, de modo a permitir o cadastramento permanente de novos interessados; II - na hipótese do inciso I do caput deste artigo, quando o objeto não permitir a contratação imediata e simultânea de todos os credenciados, deverão ser adotados critérios objetivos de distribuição da demanda; III - o edital de chamamento de interessados deverá prever as condições padronizadas de contratação e, nas hipóteses dos incisos I e II do caput deste artigo, deverá definir o valor da contratação; IV - na hipótese do inciso do caput deste artigo, a Administração deverá registrar as cotações de mercado vigentes no momento da contratação; V - não será permitido o cometimento a terceiros do objeto contratado sem autorização expressa da Administração; VI - será admitida a denúncia por qualquer das partes nos prazos fixados no edital." [1]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Para o presente caso, o credenciamento de leiloeiros públicos oficiais se enquadra perfeitamente na definição e nas regras estabelecidas, uma vez que a Administração Pública busca convocar interessados para prestar um serviço específico (organização e realização de leilões) e que, preenchidos os requisitos, poderão ser convocados conforme a demanda.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3.2. Do Leilão na Lei nº 14.133/2021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modalidade de leilão, por sua vez, é tratada no Art. 6º, inciso XL, da Lei nº 14.133/2021, que a define como: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"XL - leilão: modalidade de licitação para alienação de bens imóveis ou de bens móveis inservíveis ou legalmente apreendidos a quem oferecer o maior lance;" [1]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Esta definição é crucial, pois confirma a adequação do leilão para a alienação de bens móveis inservíveis, como os bens desafetados da Administração Pública Municipal. A Lei nº 14.133/2021, ao incluir o leilão como modalidade de licitação, reforça a legalidade e a legitimidade desse procedimento para a venda de bens públicos.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3.3. Ausência de Ônus para a Administração Pública Municipal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Um ponto fundamental do presente Estudo Técnico Preliminar é a previsão de que o credenciamento e a realização dos leilões não gerarão ônus para a Administração Pública Municipal. Isso será possível mediante a remuneração do leiloeiro por meio de comissão sobre o valor da arrematação, a ser paga pelo arrematante, conforme praxe de mercado e regulamentação específica da profissão de leiloeiro. Essa condição deverá ser expressamente prevista no edital de chamamento público e nos contratos decorrentes do credenciamento, garantindo a sustentabilidade financeira da operação para o município.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3.4. Referências</w:t>
      </w:r>
    </w:p>
    <w:p>
      <w:pPr>
        <w:pStyle w:val="Corpodotexto"/>
        <w:spacing w:before="230" w:after="283"/>
        <w:jc w:val="both"/>
        <w:rPr/>
      </w:pPr>
      <w:r>
        <w:rPr>
          <w:rFonts w:ascii="Arial" w:hAnsi="Arial"/>
          <w:sz w:val="22"/>
          <w:szCs w:val="22"/>
        </w:rPr>
        <w:t xml:space="preserve">[1] BRASIL. Lei nº 14.133, de 1º de abril de 2021. Lei de Licitações e Contratos Administrativos. Disponível em: </w:t>
      </w:r>
      <w:hyperlink r:id="rId3" w:tgtFrame="_blank">
        <w:r>
          <w:rPr>
            <w:rStyle w:val="LinkdaInternet"/>
            <w:rFonts w:ascii="Arial" w:hAnsi="Arial"/>
            <w:sz w:val="22"/>
            <w:szCs w:val="22"/>
          </w:rPr>
          <w:t>https://www.planalto.gov.br/ccivil_03/_ato2019-2022/2021/lei/l14133.htm</w:t>
        </w:r>
      </w:hyperlink>
      <w:r>
        <w:rPr>
          <w:rFonts w:ascii="Arial" w:hAnsi="Arial"/>
          <w:sz w:val="22"/>
          <w:szCs w:val="22"/>
        </w:rPr>
        <w:t>. Acesso em: 14 jul. 2025.</w:t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 ANÁLISE DA NECESSIDADE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Administração Pública Municipal de São Gabriel da Palha/ES, como qualquer ente federativo, acumula ao longo do tempo bens móveis que se tornam inservíveis, obsoletos, antieconômicos ou que perderam sua utilidade para o serviço público. A manutenção desses bens gera custos com armazenamento, segurança e, em alguns casos, depreciação, além de ocupar espaços que poderiam ser melhor aproveitados. A alienação desses bens, por meio de leilão, é uma medida de gestão patrimonial eficiente e necessária.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4.1. Bens Móveis Desafetados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Os bens móveis desafetados incluem uma variedade de itens, tais como: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Móveis: Mesas, cadeiras, armários, estantes, arquivos, entre outros, que podem estar danificados, desatualizados ou em excesso.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Veículos: Automóveis, motocicletas, caminhões, máquinas pesadas, que podem estar em desuso, com alto custo de manutenção ou que não atendem mais às necessidades da frota municipal.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Equipamentos: Computadores, impressoras, aparelhos eletrônicos, ferramentas, máquinas diversas, que se tornaram obsoletos, quebrados ou que foram substituídos por tecnologias mais modernas.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acumulação desses bens, sem um processo de alienação adequado, resulta em: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Ocupação de espaço físico: Depósitos e almoxarifados ficam sobrecarregados, limitando a capacidade de armazenamento de novos bens e dificultando a organização.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Custos de manutenção e segurança: Mesmo inservíveis, muitos bens demandam algum tipo de manutenção ou segurança para evitar deterioração ou furtos, gerando despesas desnecessárias.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Perda de valor: A demora na alienação pode levar à perda de valor dos bens, especialmente veículos e equipamentos eletrônicos, que se desvalorizam rapidamente.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Ineficiência na gestão patrimonial: A falta de um fluxo contínuo de alienação compromete a eficiência da gestão do patrimônio público, impactando a transparência e a accountability.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4.2. Demanda por Leilões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demanda por leilões de bens móveis desafetados é contínua e variável. Não é possível prever com exatidão a quantidade e o tipo de bens que estarão disponíveis para alienação em um determinado período, pois isso depende de diversos fatores, como o ciclo de vida dos equipamentos, a aquisição de novos bens, a ocorrência de sinistros, entre outros. Essa imprevisibilidade torna a contratação de um leiloeiro por meio de licitação tradicional (com objeto e valor fixos) inviável ou ineficiente.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credenciamento, por sua natureza, permite que a Administração Pública tenha à disposição um rol de leiloeiros qualificados, prontos para serem convocados conforme a necessidade, sem a obrigatoriedade de contratação imediata e simultânea de todos. Isso confere flexibilidade e agilidade ao processo de alienação, adaptando-se à demanda real do município.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4.3. Ausência de Estrutura Interna Especializada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Administração Pública Municipal de São Gabriel da Palha/ES, como a maioria dos municípios de pequeno e médio porte, não possui estrutura interna especializada e dedicada exclusivamente à organização e realização de leilões. A complexidade dos procedimentos, que envolvem desde a avaliação dos bens, a publicidade do evento, a organização logística, a condução do pregão, até a prestação de contas, exige conhecimento técnico-jurídico e operacional específico que, muitas vezes, não está disponível no quadro de servidores.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contratação de leiloeiros públicos oficiais, por meio de credenciamento, supre essa lacuna, permitindo que a Administração se beneficie da expertise de profissionais habilitados, sem a necessidade de criar e manter uma estrutura interna onerosa e subutilizada. Além disso, a remuneração do leiloeiro, como já mencionado, ocorre por meio de comissão paga pelo arrematante, eliminando custos diretos para o erário municipal.</w:t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5. REQUISITOS PARA O CREDENCIAMENTO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Para que os leiloeiros públicos oficiais possam ser credenciados pela Administração Pública Municipal de São Gabriel da Palha/ES, é fundamental que o edital de chamamento público estabeleça critérios claros e objetivos de habilitação, em conformidade com a Lei nº 14.133/2021 e a legislação específica que rege a profissão de leiloeiro. Os requisitos visam garantir a capacidade técnica, jurídica e econômico-financeira dos interessados, bem como a sua regularidade fiscal e trabalhista.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5.1. Requisitos Gerais de Habilitação (Lei nº 14.133/2021)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Conforme a Lei nº 14.133/2021, os requisitos gerais de habilitação para contratação com a Administração Pública incluem: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Habilitação Jurídica: Comprovação da existência legal da empresa ou da capacidade civil do profissional autônomo, por meio de registro comercial, estatuto social, contrato social, ou outros documentos pertinentes que atestem sua constituição e capacidade para exercer a atividade.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Qualificação Técnica: Demonstração de aptidão para a execução do objeto do credenciamento, que envolve a organização e realização de leilões. Isso pode ser comprovado por: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Registro regular na Junta Comercial do Estado (no caso do Espírito Santo, a JUCEES) como leiloeiro público oficial, conforme o Decreto nº 21.981/1932, que regulamenta a profissão.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Comprovação de experiência anterior na realização de leilões de bens móveis, preferencialmente para o setor público, por meio de atestados de capacidade técnica emitidos por pessoas jurídicas de direito público ou privado.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Disponibilidade de equipe técnica e estrutura operacional (plataforma online, equipe de apoio, local para exposição dos bens, etc.) compatível com a demanda e a complexidade dos leilões a serem realizados.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Qualificação Econômico-Financeira: Capacidade financeira para suportar os custos iniciais e operacionais da organização dos leilões até a efetivação das vendas e recebimento das comissões. A comprovação pode ser feita por meio de balanços patrimoniais, demonstrações de resultados, certidões negativas de falência ou recuperação judicial, entre outros.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Regularidade Fiscal, Social e Trabalhista: Comprovação de que o leiloeiro ou a empresa está em dia com suas obrigações fiscais (federais, estaduais e municipais), sociais (INSS, FGTS) e trabalhistas (débitos trabalhistas), por meio da apresentação de certidões negativas ou positivas com efeito de negativa.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Cumprimento do disposto no inciso XXXIII do art. 7º da Constituição Federal: Declaração de que o proponente não emprega menor de dezoito anos em trabalho noturno, perigoso ou insalubre e não emprega menor de dezesseis anos, salvo na condição de aprendiz, a partir de quatorze anos.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5.2. Requisitos Específicos para Leiloeiros Públicos Oficiais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Além dos requisitos gerais da Lei nº 14.133/2021, o credenciamento de leiloeiros públicos oficiais deve observar as particularidades da profissão, conforme o Decreto nº 21.981/1932, que regulamenta a atividade. Os principais requisitos específicos incluem: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Matrícula na Junta Comercial: O leiloeiro deve estar devidamente matriculado na Junta Comercial do Estado onde irá atuar, o que confere a ele a fé pública necessária para a realização dos leilões.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Caução: A exigência de caução, prevista na legislação específica, como garantia de cumprimento de suas obrigações e indenização por eventuais prejuízos causados a terceiros.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Conduta Ética e Idoneidade: A comprovação de idoneidade moral e profissional, por meio de certidões criminais e cíveis, e a ausência de impedimentos legais para o exercício da profissão.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Plataforma Eletrônica (quando aplicável): Para a realização de leilões online, a comprovação de que o leiloeiro possui ou tem acesso a uma plataforma eletrônica segura e funcional, com recursos que garantam a transparência, a segurança das informações e a participação ampla dos interessados.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5.3. Remuneração e Ausência de Ônus para o Município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Um dos pilares deste credenciamento é a ausência de ônus para a Administração Pública Municipal. A remuneração do leiloeiro público oficial, conforme o Art. 24 do Decreto nº 21.981/1932, é feita por meio de comissão sobre o valor da arrematação, a ser paga pelo arrematante. Essa comissão, geralmente de 5% (cinco por cento) sobre o valor do bem arrematado, deverá ser expressamente informada no edital de chamamento e nos termos de credenciamento, desonerando o erário municipal de qualquer custo direto com a contratação dos serviços do leiloeiro. Eventuais despesas com publicidade e divulgação dos leilões também deverão ser de responsabilidade do leiloeiro credenciado, salvo disposição em contrário no edital, que deverá ser devidamente justificada.</w:t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PROCEDIMENTOS DO LEILÃO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organização e a realização dos leilões de bens móveis desafetados, por meio dos leiloeiros públicos oficiais credenciados, seguirão um fluxo de trabalho que visa garantir a eficiência, a transparência e a conformidade com a legislação vigente. Os procedimentos detalhados a seguir descrevem as etapas desde a solicitação do leilão pela Administração Pública até a efetiva entrega dos bens aos arrematantes.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6.1. Solicitação e Autorização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processo de leilão terá início com a formalização da solicitação pela Administração Pública Municipal, por meio do setor responsável pelo patrimônio. Esta solicitação deverá conter: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Listagem dos bens: Relação detalhada dos bens a serem leiloados, incluindo descrição, estado de conservação, número de patrimônio, e qualquer outra informação relevante para a identificação e avaliação dos itens.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Justificativa da alienação: Motivos pelos quais os bens estão sendo desafetados e a necessidade de sua alienação (inservibilidade, obsolescência, antieconomicidade, etc.).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Avaliação prévia: Valor de avaliação dos bens, que servirá como lance mínimo para o leilão. Essa avaliação poderá ser realizada por comissão interna da Administração ou por profissional habilitado, conforme a natureza e o valor dos bens.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Autorização formal: Ato administrativo que autoriza a alienação dos bens por meio de leilão, em conformidade com a legislação municipal e federal.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Após a formalização da solicitação e a obtenção das autorizações necessárias, a Administração Pública convocará um dos leiloeiros credenciados, seguindo os critérios de distribuição de demanda estabelecidos no edital de credenciamento (por exemplo, rodízio, sorteio, ou outro critério objetivo).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6.2. Preparação do Leilão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Uma vez convocado, o leiloeiro público oficial será responsável por todas as etapas de preparação do leilão, sem ônus para a Administração Pública Municipal. Essas etapas incluem: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Vistoria e conferência dos bens: O leiloeiro ou sua equipe realizará a vistoria dos bens, conferindo a listagem fornecida pela Administração e verificando o estado real de cada item. Poderá ser feita a catalogação fotográfica dos bens.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Elaboração do Edital de Leilão: O leiloeiro, em conjunto com a Administração, elaborará o edital específico do leilão, que deverá conter: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Data, horário e local (físico e/ou online) do leilão.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Relação completa dos bens, com descrições detalhadas e fotos.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Valores mínimos de lance para cada item.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Condições de participação, pagamento e retirada dos bens.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Informações sobre a comissão do leiloeiro (percentual e responsabilidade do arrematante).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Disposições gerais e legais aplicáveis.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Publicidade e Divulgação: O leiloeiro será responsável pela ampla divulgação do leilão, utilizando os meios necessários para atrair o maior número de interessados, tais como: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Publicação do edital em jornais de grande circulação (se exigido por lei ou regulamento municipal).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Divulgação em sítios eletrônicos especializados em leilões e no sítio oficial da Administração Pública.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Envio de e-mails marketing e uso de redes sociais.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Exposição dos bens (física ou virtual) em período anterior ao leilão, para que os interessados possam vistoriar os itens.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6.3. Realização do Leilão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leilão poderá ser realizado de forma presencial, online ou mista (simultânea), conforme as condições estabelecidas no edital de credenciamento e no edital específico do leilão. O leiloeiro público oficial conduzirá o ato, observando as seguintes diretrizes: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Condução do pregão: O leiloeiro anunciará os bens, os lances e o arrematante, garantindo a lisura e a transparência do processo.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Registro dos lances: Todos os lances serão registrados, seja em ata física ou em sistema eletrônico, com identificação dos participantes.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Arrematação: O bem será arrematado pelo maior lance oferecido, desde que superior ao valor mínimo estabelecido.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Assinatura da Ata: Ao final do leilão, será lavrada ata circunstanciada, contendo todas as informações relevantes, como os bens leiloados, os valores de arrematação e os dados dos arrematantes.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6.4. Pós-Leilão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Após a realização do leilão, o leiloeiro será responsável pelas seguintes etapas: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Recebimento dos valores: O leiloeiro receberá os valores de arrematação diretamente dos arrematantes, bem como sua comissão.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Prestação de contas: O leiloeiro deverá prestar contas à Administração Pública Municipal, repassando os valores arrecadados com a venda dos bens, deduzindo apenas os valores referentes a impostos e taxas que porventura sejam de responsabilidade do leiloeiro, conforme acordado em edital.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Emissão de documentos: Emissão das notas de venda e demais documentos necessários para a transferência da propriedade dos bens aos arrematantes.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Liberação dos bens: O leiloeiro coordenará a liberação dos bens aos arrematantes, após a comprovação do pagamento integral e a apresentação dos documentos necessários.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Todo o processo será acompanhado e fiscalizado pela Administração Pública Municipal, que terá acesso a todas as informações e documentos relacionados aos leilões, garantindo a conformidade e a segurança jurídica das operações.</w:t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JUSTIFICATIVA DA ESCOLHA DO CREDENCIAMENTO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escolha da modalidade de credenciamento para a contratação de leiloeiros públicos oficiais, em detrimento de outras modalidades licitatórias, justifica-se por uma série de fatores que se alinham aos princípios da eficiência, economicidade, agilidade e transparência, conforme preconiza a Lei nº 14.133/2021. Esta seção detalha as razões que fundamentam a opção pelo credenciamento.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7.1. Natureza do Objeto e Inviabilidade de Competição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serviço de leilo</w:t>
      </w:r>
      <w:r>
        <w:rPr>
          <w:rFonts w:ascii="Arial" w:hAnsi="Arial"/>
          <w:sz w:val="22"/>
          <w:szCs w:val="22"/>
        </w:rPr>
        <w:t>eiro (a)</w:t>
      </w:r>
      <w:r>
        <w:rPr>
          <w:rFonts w:ascii="Arial" w:hAnsi="Arial"/>
          <w:sz w:val="22"/>
          <w:szCs w:val="22"/>
        </w:rPr>
        <w:t xml:space="preserve"> públic</w:t>
      </w:r>
      <w:r>
        <w:rPr>
          <w:rFonts w:ascii="Arial" w:hAnsi="Arial"/>
          <w:sz w:val="22"/>
          <w:szCs w:val="22"/>
        </w:rPr>
        <w:t>o</w:t>
      </w:r>
      <w:r>
        <w:rPr>
          <w:rFonts w:ascii="Arial" w:hAnsi="Arial"/>
          <w:sz w:val="22"/>
          <w:szCs w:val="22"/>
        </w:rPr>
        <w:t xml:space="preserve"> oficial possui características intrínsecas que o tornam singular e, em muitos aspectos, incompatível com a lógica competitiva de uma licitação tradicional. A Lei nº 14.133/2021, em seu Art. 79, § 1º, inciso I, prevê o credenciamento para situações em que a Administração Pública necessita de um serviço que não permite a contratação imediata e simultânea de todos os interessados, mas sim a convocação conforme a demanda. No caso dos leilões de bens desafetados, a demanda é intermitente e variável, não havendo um volume fixo de serviços a ser contratado de uma só vez.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Além disso, a remuneração do leiloeiro, por força de lei (Decreto nº 21.981/1932), é uma comissão percentual sobre o valor da arrematação, paga pelo arrematante. Isso significa que o preço do serviço do leiloeiro é tabelado e não há margem para competição de preços entre os leiloeiros. A competição, nesse caso, se daria pela qualidade do serviço, pela expertise e pela capacidade de atrair arrematantes, aspectos que são mais bem avaliados em um processo de credenciamento, que foca na habilitação e na disponibilidade, do que em uma licitação que busca o menor preço.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7.2. Flexibilidade e Agilidade na Contratação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credenciamento oferece à Administração Pública a flexibilidade necessária para atender à demanda por leilões de forma ágil e eficiente. Ao invés de realizar um novo processo licitatório a cada necessidade de alienação de bens, o município terá um cadastro de leiloeiros aptos a serem convocados. Isso reduz significativamente o tempo entre a decisão de leiloar os bens e a efetiva realização do leilão, minimizando custos de armazenamento e depreciação dos itens.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agilidade é crucial para a gestão patrimonial, pois permite que a Administração se desfaça rapidamente de bens que não lhe são mais úteis, liberando espaço e recursos que podem ser direcionados para outras prioridades. A natureza contínua e imprevisível da disponibilidade de bens desafetados reforça a adequação do credenciamento, que se adapta a essa dinâmica.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7.3. Ausência de Ônus Financeiro para o Município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Conforme já abordado, a principal vantagem financeira do credenciamento de leiloeiros é a ausência de ônus para a Administração Pública Municipal. A remuneração do leiloeiro é proveniente da comissão paga pelo arrematante, o que significa que o município não precisa alocar recursos orçamentários para a contratação desses serviços. Isso é particularmente relevante para municípios com orçamentos limitados, como São Gabriel da Palha/ES, que podem se beneficiar da alienação de bens sem comprometer suas finanças.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Essa característica torna o credenciamento uma solução altamente atrativa e sustentável, pois permite a otimização da gestão patrimonial e a geração de receita sem a criação de novas despesas diretas para o erário.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7.4. Transparência e Controle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Embora o credenciamento não envolva a competição de preços, ele garante a transparência e o controle dos processos. O edital de chamamento público deve ser amplamente divulgado, permitindo que todos os leiloeiros interessados e qualificados possam se credenciar. Os critérios de habilitação são objetivos e pré-definidos, assegurando que apenas profissionais aptos e regulares sejam credenciados.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Além disso, a Lei nº 14.133/2021 exige que a Administração Pública registre as cotações de mercado vigentes no momento da contratação (Art. 79, § 2º, inciso IV), o que, no caso do leilão, se traduz na fiscalização dos valores de arrematação e da comissão do leiloeiro. A condução dos leilões por profissionais com fé pública e a publicidade dos atos garantem a lisura e a conformidade com os princípios da Administração Pública.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 suma, o credenciamento de leiloeiros públicos oficiais para a alienação de bens móveis desafetados representa a solução mais vantajosa para a Administração Pública Municipal de São Gabriel da Palha/ES, combinando eficiência, economicidade, agilidade e transparência, em estrita observância à Lei nº 14.133/2021.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2"/>
        <w:spacing w:before="29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 IMPACTOS E BENEFÍCIOS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implementação do credenciamento de leiloeiros públicos oficiais para a alienação de bens móveis desafetados na Administração Pública Municipal de São Gabriel da Palha/ES trará uma série de impactos positivos e benefícios significativos, tanto para a gestão pública quanto para a sociedade. Esses benefícios abrangem aspectos financeiros, operacionais, ambientais e de transparência.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8.1. Benefícios Financeiros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Geração de Receita: A principal vantagem financeira é a arrecadação de recursos para o município por meio da venda dos bens desafetados. Esses recursos podem ser reinvestidos em áreas prioritárias da administração, como saúde, educação, infraestrutura, ou para o custeio de outras despesas públicas.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Redução de Custos de Manutenção e Armazenamento: A alienação de bens inservíveis elimina os custos associados à sua manutenção, guarda, segurança e depreciação. Bens parados em depósitos geram despesas sem qualquer retorno, e sua remoção representa uma economia direta para o erário.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Ausência de Custos Diretos com o Leiloeiro: Como a remuneração do leiloeiro é paga pelo arrematante, o município não terá despesas diretas com a contratação dos serviços de leiloaria, tornando o processo financeiramente autossustentável.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Maximização do Valor dos Bens: A expertise dos leiloeiros em promover e conduzir os leilões, aliada à ampla divulgação, tende a atrair um maior número de interessados, fomentando a competição e, consequentemente, maximizando o valor de arrematação dos bens.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8.2. Benefícios Operacionais e de Gestão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Otimização da Gestão Patrimonial: O credenciamento estabelece um fluxo contínuo e eficiente para a alienação de bens, permitindo que a Administração Pública mantenha seu patrimônio atualizado e livre de itens inservíveis. Isso contribui para uma gestão mais organizada e transparente dos ativos municipais.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Agilidade nos Processos: A disponibilidade de leiloeiros credenciados agiliza o processo de alienação, reduzindo o tempo entre a identificação de um bem desafetado e sua efetiva venda. Isso evita a acumulação de bens e a perda de valor por obsolescência ou deterioração.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Desoneração da Equipe Interna: A delegação das atividades operacionais do leilão aos leiloeiros credenciados libera a equipe interna da Administração Pública para focar em suas atividades-fim, otimizando o uso dos recursos humanos.</w:t>
      </w:r>
    </w:p>
    <w:p>
      <w:pPr>
        <w:pStyle w:val="Corpodotexto"/>
        <w:spacing w:before="230" w:after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Acesso à Expertise Especializada: O município se beneficia do conhecimento técnico e da experiência de profissionais especializados em leilões, que possuem as ferramentas e o know-how para conduzir os processos de forma eficaz e em conformidade com a legislação.</w:t>
      </w:r>
    </w:p>
    <w:p>
      <w:pPr>
        <w:pStyle w:val="Ttulo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8.3. Benefícios Ambientais e Sociais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Destinação Adequada de Bens: A alienação de bens inservíveis, especialmente veículos e equipamentos, contribui para a destinação ambientalmente correta, evitando o descarte inadequado e a poluição. Muitos desses bens podem ser reutilizados ou reciclados, promovendo a economia circular.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Transparência e Acesso à Informação: A publicidade dos leilões e a condução por leiloeiros públicos oficiais, que possuem fé pública, garantem a transparência do processo, permitindo que qualquer cidadão acompanhe a alienação dos bens públicos. Isso fortalece a confiança na gestão municipal.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• </w:t>
      </w:r>
      <w:r>
        <w:rPr>
          <w:rFonts w:ascii="Arial" w:hAnsi="Arial"/>
          <w:sz w:val="22"/>
          <w:szCs w:val="22"/>
        </w:rPr>
        <w:t>Oportunidade para a População: Os leilões oferecem à população a oportunidade de adquirir bens a preços competitivos, fomentando a economia local e proporcionando acesso a itens que, de outra forma, poderiam ser descartados.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 resumo, o credenciamento de leiloeiros públicos oficiais não é apenas uma medida de conformidade legal, mas uma estratégia de gestão inteligente que gera múltiplos benefícios para o município de São Gabriel da Palha/ES, promovendo a eficiência, a economicidade e a transparência na administração dos bens públicos.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tulo2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9. CONCLUSÃO</w:t>
      </w:r>
    </w:p>
    <w:p>
      <w:pPr>
        <w:pStyle w:val="Corpodotexto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Diante do exposto neste Estudo Técnico Preliminar, conclui-se que o credenciamento de leiloeiros públicos oficiais para a organização e realização de leilões de bens móveis desafetados (móveis, veículos e equipamentos) da Administração Pública Municipal de São Gabriel da Palha/ES, em conformidade com a Lei nº 14.133/2021, é a solução mais adequada e vantajosa para o município.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Esta modalidade de contratação se alinha perfeitamente à natureza intermitente e imprevisível da demanda por alienação de bens inservíveis, proporcionando a flexibilidade e agilidade necessárias para uma gestão patrimonial eficiente. A ausência de ônus financeiro direto para a Administração Pública, uma vez que a remuneração do leiloeiro é paga pelo arrematante, torna o processo economicamente sustentável e atrativo, liberando recursos orçamentários para outras prioridades municipais.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Adicionalmente, o credenciamento garante a legalidade, a transparência e a competitividade do processo, ao permitir que profissionais especializados e devidamente habilitados, com fé pública, conduzam os leilões. Os benefícios se estendem à otimização da gestão patrimonial, à redução de custos com manutenção e armazenamento de bens, à maximização do valor de arrematação e à promoção da destinação ambientalmente correta dos itens.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Recomenda-se, portanto, a continuidade do processo para a elaboração do Termo de Referência ou Projeto Básico, que detalhará os requisitos e procedimentos para o chamamento público de leiloeiros, visando a implementação efetiva desta importante ferramenta de gestão pública no município de São Gabriel da Palha/ES.</w:t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otex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São Gabriel da Palha/ES, 24 de julho de 2025.</w:t>
      </w:r>
    </w:p>
    <w:p>
      <w:pPr>
        <w:pStyle w:val="Corpodotexto"/>
        <w:spacing w:lineRule="auto" w:line="240" w:before="240" w:after="0"/>
        <w:ind w:left="131" w:right="415" w:hanging="0"/>
        <w:jc w:val="both"/>
        <w:rPr>
          <w:rFonts w:ascii="Arial" w:hAnsi="Arial"/>
          <w:color w:val="33322D"/>
          <w:spacing w:val="-2"/>
          <w:w w:val="90"/>
          <w:sz w:val="22"/>
          <w:szCs w:val="22"/>
        </w:rPr>
      </w:pPr>
      <w:r>
        <w:rPr>
          <w:rFonts w:ascii="Arial" w:hAnsi="Arial"/>
          <w:color w:val="33322D"/>
          <w:spacing w:val="-2"/>
          <w:w w:val="90"/>
          <w:sz w:val="22"/>
          <w:szCs w:val="22"/>
        </w:rPr>
      </w:r>
    </w:p>
    <w:p>
      <w:pPr>
        <w:pStyle w:val="Corpodotexto"/>
        <w:spacing w:lineRule="auto" w:line="240" w:before="240" w:after="0"/>
        <w:ind w:left="131" w:right="415" w:hanging="0"/>
        <w:jc w:val="both"/>
        <w:rPr>
          <w:rFonts w:ascii="Arial" w:hAnsi="Arial"/>
          <w:color w:val="33322D"/>
          <w:spacing w:val="-2"/>
          <w:w w:val="90"/>
          <w:sz w:val="22"/>
          <w:szCs w:val="22"/>
        </w:rPr>
      </w:pPr>
      <w:r>
        <w:rPr>
          <w:rFonts w:ascii="Arial" w:hAnsi="Arial"/>
          <w:color w:val="33322D"/>
          <w:spacing w:val="-2"/>
          <w:w w:val="90"/>
          <w:sz w:val="22"/>
          <w:szCs w:val="22"/>
        </w:rPr>
      </w:r>
    </w:p>
    <w:p>
      <w:pPr>
        <w:pStyle w:val="Normal"/>
        <w:widowControl w:val="false"/>
        <w:spacing w:lineRule="auto" w:line="240" w:before="126" w:after="46"/>
        <w:ind w:left="280" w:right="0" w:hanging="0"/>
        <w:jc w:val="center"/>
        <w:rPr>
          <w:b w:val="false"/>
          <w:bCs w:val="false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color w:val="000000"/>
          <w:sz w:val="22"/>
          <w:szCs w:val="22"/>
          <w:lang w:val="pt-BR"/>
        </w:rPr>
        <w:t>Francieli da Rocha Ávila</w:t>
      </w:r>
    </w:p>
    <w:p>
      <w:pPr>
        <w:pStyle w:val="Normal"/>
        <w:widowControl w:val="false"/>
        <w:spacing w:lineRule="auto" w:line="240" w:before="0" w:after="0"/>
        <w:ind w:left="280" w:right="0" w:hanging="0"/>
        <w:jc w:val="center"/>
        <w:rPr>
          <w:b w:val="false"/>
          <w:bCs w:val="false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color w:val="000000"/>
          <w:sz w:val="22"/>
          <w:szCs w:val="22"/>
          <w:lang w:val="pt-BR"/>
        </w:rPr>
        <w:t>Secretária Municipal de Administração</w:t>
      </w:r>
    </w:p>
    <w:p>
      <w:pPr>
        <w:pStyle w:val="Corpodotexto"/>
        <w:spacing w:lineRule="auto" w:line="240" w:before="240" w:after="0"/>
        <w:ind w:left="131" w:right="415" w:hanging="0"/>
        <w:jc w:val="both"/>
        <w:rPr>
          <w:rFonts w:ascii="Arial" w:hAnsi="Arial"/>
          <w:color w:val="33322D"/>
          <w:spacing w:val="-2"/>
          <w:w w:val="90"/>
          <w:sz w:val="22"/>
          <w:szCs w:val="22"/>
        </w:rPr>
      </w:pPr>
      <w:r>
        <w:rPr>
          <w:rFonts w:ascii="Arial" w:hAnsi="Arial"/>
          <w:color w:val="33322D"/>
          <w:spacing w:val="-2"/>
          <w:w w:val="90"/>
          <w:sz w:val="22"/>
          <w:szCs w:val="22"/>
        </w:rPr>
      </w:r>
    </w:p>
    <w:p>
      <w:pPr>
        <w:pStyle w:val="Corpodotexto"/>
        <w:spacing w:lineRule="auto" w:line="240" w:before="12" w:after="0"/>
        <w:ind w:left="131" w:right="415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-2"/>
          <w:w w:val="90"/>
          <w:sz w:val="22"/>
          <w:szCs w:val="22"/>
        </w:rPr>
        <w:t>Reinaldo Basileu Guareschi</w:t>
      </w:r>
    </w:p>
    <w:p>
      <w:pPr>
        <w:pStyle w:val="Textoprformatado"/>
        <w:spacing w:lineRule="auto" w:line="240"/>
        <w:jc w:val="center"/>
        <w:rPr/>
      </w:pPr>
      <w:r>
        <w:rPr>
          <w:rStyle w:val="Cdigo-fonte"/>
          <w:rFonts w:cs="Arial" w:ascii="Arial" w:hAnsi="Arial"/>
          <w:sz w:val="22"/>
          <w:szCs w:val="22"/>
        </w:rPr>
        <w:t>Presidente Comissão Especial de Credenciamento e Leilão</w:t>
      </w:r>
    </w:p>
    <w:p>
      <w:pPr>
        <w:pStyle w:val="Textoprformatado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xtoprformatado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xtoprformatado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>Jussan Tonetto Menegatti</w:t>
      </w:r>
    </w:p>
    <w:p>
      <w:pPr>
        <w:pStyle w:val="Textoprformatado"/>
        <w:spacing w:lineRule="auto" w:line="240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 xml:space="preserve">Membro </w:t>
      </w:r>
    </w:p>
    <w:p>
      <w:pPr>
        <w:pStyle w:val="Textoprformatado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>Gregory Patrick Dorsch Krugel</w:t>
      </w:r>
    </w:p>
    <w:p>
      <w:pPr>
        <w:pStyle w:val="Textoprformatado"/>
        <w:spacing w:lineRule="auto" w:line="240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 xml:space="preserve">Membro </w:t>
      </w:r>
    </w:p>
    <w:p>
      <w:pPr>
        <w:pStyle w:val="Textoprformatado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>Ercilio Alves de Carvalho</w:t>
      </w:r>
    </w:p>
    <w:p>
      <w:pPr>
        <w:pStyle w:val="Textoprformatado"/>
        <w:spacing w:lineRule="auto" w:line="240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 xml:space="preserve">Membro </w:t>
      </w:r>
    </w:p>
    <w:p>
      <w:pPr>
        <w:pStyle w:val="Textoprformatado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jc w:val="both"/>
        <w:rPr/>
      </w:pPr>
      <w:r>
        <w:rPr>
          <w:rStyle w:val="Cdigo-fonte"/>
          <w:rFonts w:cs="Arial" w:ascii="Arial" w:hAnsi="Arial"/>
          <w:sz w:val="22"/>
          <w:szCs w:val="22"/>
        </w:rPr>
        <w:t>Dejair Carvalho Folli</w:t>
      </w:r>
    </w:p>
    <w:p>
      <w:pPr>
        <w:pStyle w:val="Textoprformatado"/>
        <w:spacing w:lineRule="auto" w:line="240"/>
        <w:jc w:val="both"/>
        <w:rPr/>
      </w:pPr>
      <w:r>
        <w:rPr>
          <w:rStyle w:val="Cdigo-fonte"/>
          <w:rFonts w:cs="Arial" w:ascii="Arial" w:hAnsi="Arial"/>
          <w:b w:val="false"/>
          <w:bCs w:val="false"/>
          <w:color w:val="000000"/>
          <w:spacing w:val="-2"/>
          <w:w w:val="90"/>
          <w:sz w:val="22"/>
          <w:szCs w:val="22"/>
          <w:lang w:val="pt-BR"/>
        </w:rPr>
        <w:t xml:space="preserve">Membro </w:t>
      </w:r>
    </w:p>
    <w:p>
      <w:pPr>
        <w:pStyle w:val="Corpodotexto"/>
        <w:spacing w:lineRule="auto" w:line="240" w:before="0" w:after="0"/>
        <w:ind w:left="131" w:right="415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type w:val="continuous"/>
      <w:pgSz w:w="11906" w:h="16838"/>
      <w:pgMar w:left="708" w:right="708" w:gutter="0" w:header="1060" w:top="2171" w:footer="0" w:bottom="28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Verdana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Mono">
    <w:altName w:val="Courier New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left="-567" w:right="0" w:hanging="0"/>
      <w:jc w:val="center"/>
      <w:rPr>
        <w:rFonts w:ascii="Times New Roman" w:hAnsi="Times New Roman"/>
        <w:sz w:val="24"/>
        <w:szCs w:val="24"/>
      </w:rPr>
    </w:pPr>
    <w: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118110</wp:posOffset>
          </wp:positionH>
          <wp:positionV relativeFrom="paragraph">
            <wp:posOffset>-154940</wp:posOffset>
          </wp:positionV>
          <wp:extent cx="614680" cy="551815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Arial" w:hAnsi="Arial"/>
        <w:sz w:val="24"/>
        <w:szCs w:val="24"/>
        <w:lang w:val="pt-BR"/>
      </w:rPr>
      <w:t>PREFEITURA MUNICIPAL DE SÃO GABRIEL DA PALHA</w:t>
      <w:br/>
      <w:t>ESTADO DO ESPÍRITO SANTO</w:t>
    </w:r>
    <w:r>
      <w:rPr>
        <w:rFonts w:cs="Verdana" w:ascii="Arial" w:hAnsi="Arial"/>
        <w:b/>
        <w:bCs/>
        <w:sz w:val="24"/>
        <w:szCs w:val="24"/>
        <w:lang w:val="pt-BR"/>
      </w:rPr>
      <w:t xml:space="preserve"> </w:t>
    </w:r>
    <w:r>
      <w:rPr>
        <w:rFonts w:eastAsia="sans-serif" w:cs="Verdana" w:ascii="Arial" w:hAnsi="Arial"/>
        <w:b/>
        <w:bCs/>
        <w:sz w:val="24"/>
        <w:szCs w:val="24"/>
        <w:lang w:val="pt-BR"/>
      </w:rPr>
      <w:br/>
      <w:t>Secretaria Municipal de Administração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Microsoft Sans Serif" w:hAnsi="Microsoft Sans Serif" w:eastAsia="Microsoft Sans Serif" w:cs="Microsoft Sans Serif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231" w:after="0"/>
      <w:ind w:left="718" w:right="0" w:hanging="587"/>
      <w:outlineLvl w:val="1"/>
    </w:pPr>
    <w:rPr>
      <w:rFonts w:ascii="Verdana" w:hAnsi="Verdana" w:eastAsia="Verdana" w:cs="Verdana"/>
      <w:sz w:val="36"/>
      <w:szCs w:val="36"/>
      <w:lang w:val="pt-PT" w:eastAsia="en-US" w:bidi="ar-SA"/>
    </w:rPr>
  </w:style>
  <w:style w:type="paragraph" w:styleId="Ttulo2">
    <w:name w:val="Heading 2"/>
    <w:basedOn w:val="Ttulo"/>
    <w:next w:val="Corpodo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paragraph" w:styleId="Ttulo3">
    <w:name w:val="Heading 3"/>
    <w:basedOn w:val="Ttulo"/>
    <w:next w:val="Corpodotexto"/>
    <w:qFormat/>
    <w:pPr>
      <w:spacing w:before="140" w:after="120"/>
      <w:outlineLvl w:val="2"/>
    </w:pPr>
    <w:rPr>
      <w:rFonts w:ascii="Liberation Serif" w:hAnsi="Liberation Serif" w:eastAsia="Segoe UI" w:cs="Tahoma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Hyperlink"/>
    <w:rPr>
      <w:color w:val="000080"/>
      <w:u w:val="single"/>
    </w:rPr>
  </w:style>
  <w:style w:type="character" w:styleId="Cdigo-fonte">
    <w:name w:val="Código-fonte"/>
    <w:qFormat/>
    <w:rPr>
      <w:rFonts w:ascii="Liberation Mono;Courier New" w:hAnsi="Liberation Mono;Courier New" w:eastAsia="NSimSun" w:cs="Liberation Mono;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>
      <w:spacing w:before="230" w:after="0"/>
      <w:ind w:left="131" w:right="0" w:hanging="0"/>
    </w:pPr>
    <w:rPr>
      <w:rFonts w:ascii="Microsoft Sans Serif" w:hAnsi="Microsoft Sans Serif" w:eastAsia="Microsoft Sans Serif" w:cs="Microsoft Sans Serif"/>
      <w:sz w:val="29"/>
      <w:szCs w:val="29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581" w:right="0" w:hanging="330"/>
    </w:pPr>
    <w:rPr>
      <w:rFonts w:ascii="Microsoft Sans Serif" w:hAnsi="Microsoft Sans Serif" w:eastAsia="Microsoft Sans Serif" w:cs="Microsoft Sans Serif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5245" w:leader="none"/>
        <w:tab w:val="right" w:pos="10490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Textoprformatado">
    <w:name w:val="Texto préformatado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LibreOffice/7.5.7.1$Windows_X86_64 LibreOffice_project/47eb0cf7efbacdee9b19ae25d6752381ede23126</Application>
  <AppVersion>15.0000</AppVersion>
  <Pages>10</Pages>
  <Words>4629</Words>
  <Characters>26862</Characters>
  <CharactersWithSpaces>31329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2025-07-14T17:01:18Z</dcterms:created>
  <dc:creator/>
  <dc:description/>
  <dc:language>pt-BR</dc:language>
  <cp:lastModifiedBy/>
  <cp:lastPrinted>2025-07-24T14:14:21Z</cp:lastPrinted>
  <dcterms:modified xsi:type="dcterms:W3CDTF">2025-08-12T12:55:49Z</dcterms:modified>
  <cp:revision>6</cp:revision>
  <dc:subject/>
  <dc:title>Manus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2025-07-14T00:00:00Z</vt:filetime>
  </property>
  <property fmtid="{D5CDD505-2E9C-101B-9397-08002B2CF9AE}" pid="5" name="Producer">
    <vt:lpwstr>Skia/PDF m138</vt:lpwstr>
  </property>
</Properties>
</file>